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2"/>
        <w:rPr>
          <w:rFonts w:ascii="微软雅黑" w:eastAsia="微软雅黑" w:hAnsi="微软雅黑" w:cs="宋体"/>
          <w:b/>
          <w:bCs/>
          <w:color w:val="980000"/>
          <w:kern w:val="0"/>
          <w:sz w:val="27"/>
          <w:szCs w:val="27"/>
        </w:rPr>
      </w:pPr>
      <w:r w:rsidRPr="004F3459">
        <w:rPr>
          <w:rFonts w:ascii="微软雅黑" w:eastAsia="微软雅黑" w:hAnsi="微软雅黑" w:cs="宋体" w:hint="eastAsia"/>
          <w:b/>
          <w:bCs/>
          <w:color w:val="980000"/>
          <w:kern w:val="0"/>
          <w:sz w:val="27"/>
          <w:szCs w:val="27"/>
        </w:rPr>
        <w:t>北京中医药大学2016年国家建设高水平大学公派研究生项目选派通知</w:t>
      </w:r>
    </w:p>
    <w:p w:rsidR="004F3459" w:rsidRPr="004F3459" w:rsidRDefault="004F3459" w:rsidP="004F3459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4F3459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 xml:space="preserve">发布日期：2015年12月11日 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北京中医药大学2016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年国家建设高水平大学公派研究生项目选派通知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 </w:t>
      </w: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根据国家留学基金委2016年</w:t>
      </w:r>
      <w:proofErr w:type="gramStart"/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国家国家</w:t>
      </w:r>
      <w:proofErr w:type="gramEnd"/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建设高水平大学公派研究生项目实施方案的精神及相关政策要求（详见</w:t>
      </w:r>
      <w:bookmarkStart w:id="0" w:name="_GoBack"/>
      <w:bookmarkEnd w:id="0"/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 xml:space="preserve">http://www.csc.edu.cn/Chuguo/Default.aspx?cid=13），我校现转发基金委通知，将严格按照基金委申请条件及申报工作相关要求开展此项工作，在全校范围内遴选国家建设高水平大学公派研究生项目候选人，拟申报者为我校全日制在读研究生（委托培养和定向生除外）。 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 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选派工作进度及安排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1、各学院进行院内选拔推荐工作：选拔方式自定，拟申请者下载附件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1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“附件1 北京中医药大学国家建设高水平大学公派研究生项目报名表”填写完毕后加盖学院公章，依据“附件2申请者上报所在学院材料清单”中的要求于2016年3月4日前将纸质版申报材料上交各学院。各二级学院审核申请者信息后，将申请者名单汇总入“2016XX学院国家建设高水平大学公派研究生项目申报学生信息汇总表”，于2016年3月12日前将所有材料交至研究生院237房间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注：（1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）申请者必须首先向学院提交国外院校正式邀请函；若没有邀请函，学院不予受理；（2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）联合培养博士须提供《国内导师推荐信》（无固定格式，但导师需在信中</w:t>
      </w: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对申请人学习情况、科研能力、思想品德做出综合评价），该推荐信将作为后</w:t>
      </w: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lastRenderedPageBreak/>
        <w:t>续专家评审的重要参考；学院还需组织专家对</w:t>
      </w:r>
      <w:r w:rsidRPr="004F3459">
        <w:rPr>
          <w:rFonts w:ascii="宋体" w:eastAsia="宋体" w:hAnsi="宋体" w:cs="宋体" w:hint="eastAsia"/>
          <w:b/>
          <w:bCs/>
          <w:color w:val="585858"/>
          <w:kern w:val="0"/>
          <w:sz w:val="24"/>
          <w:szCs w:val="24"/>
        </w:rPr>
        <w:t>联合培养博士生</w:t>
      </w: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进行评审，形成“附件3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专家评审意见表”（学院盖章）。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2、2016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年3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月18日前，研究生院汇总材料，确定学校推荐名单。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3、2016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年3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月20日，研究生院对我校推荐名单进行网上公示。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4、被推荐者于2016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年3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月20日—29日登陆国家公派留学管理信息平台进行网上报名（http://apply.csc.edu.cn），研究生院网上审核通过后，被推荐者打印出申请材料并交至研究生院237房间。(按基金委要求,材料一式一份，按顺序整理并用燕尾夹固定，无需装订）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5、2016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年3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月20日—29日期间，被推荐者可以到研究生院237房间咨询填报事宜。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6、2016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年3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月31日-4月4日，研究生院审核并向留学基金委提交所有申请材料。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7、2016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年5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月中旬，留学基金委网上公布入选名单。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申报流程：http://www.csc.edu.cn/Chuguo/a2e5a33a41b14169b7b05197fc6826a9.shtml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以上信息如有改动另行通知。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 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北京中医药大学研究生院</w:t>
      </w:r>
    </w:p>
    <w:p w:rsidR="004F3459" w:rsidRPr="004F3459" w:rsidRDefault="004F3459" w:rsidP="004F3459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</w:pPr>
      <w:r w:rsidRPr="004F3459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2015年12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4"/>
          <w:szCs w:val="24"/>
        </w:rPr>
        <w:t>月11</w:t>
      </w:r>
      <w:r w:rsidRPr="004F3459">
        <w:rPr>
          <w:rFonts w:ascii="微软雅黑" w:eastAsia="微软雅黑" w:hAnsi="微软雅黑" w:cs="宋体" w:hint="eastAsia"/>
          <w:color w:val="585858"/>
          <w:kern w:val="0"/>
          <w:sz w:val="20"/>
          <w:szCs w:val="20"/>
        </w:rPr>
        <w:t>日</w:t>
      </w:r>
    </w:p>
    <w:p w:rsidR="0011719F" w:rsidRDefault="0011719F"/>
    <w:sectPr w:rsidR="00117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F0" w:rsidRDefault="00FB4EF0" w:rsidP="004F3459">
      <w:r>
        <w:separator/>
      </w:r>
    </w:p>
  </w:endnote>
  <w:endnote w:type="continuationSeparator" w:id="0">
    <w:p w:rsidR="00FB4EF0" w:rsidRDefault="00FB4EF0" w:rsidP="004F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F0" w:rsidRDefault="00FB4EF0" w:rsidP="004F3459">
      <w:r>
        <w:separator/>
      </w:r>
    </w:p>
  </w:footnote>
  <w:footnote w:type="continuationSeparator" w:id="0">
    <w:p w:rsidR="00FB4EF0" w:rsidRDefault="00FB4EF0" w:rsidP="004F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A6"/>
    <w:rsid w:val="0011719F"/>
    <w:rsid w:val="004F3459"/>
    <w:rsid w:val="00D914A6"/>
    <w:rsid w:val="00F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4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45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F34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F3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4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45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F34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F3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593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DAC5"/>
                    <w:right w:val="none" w:sz="0" w:space="0" w:color="auto"/>
                  </w:divBdr>
                </w:div>
                <w:div w:id="8311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2015-12-14T01:33:00Z</dcterms:created>
  <dcterms:modified xsi:type="dcterms:W3CDTF">2015-12-14T01:37:00Z</dcterms:modified>
</cp:coreProperties>
</file>